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82" w:rsidRDefault="00A57239" w:rsidP="00A57239">
      <w:pPr>
        <w:jc w:val="center"/>
        <w:rPr>
          <w:b/>
        </w:rPr>
      </w:pPr>
      <w:r w:rsidRPr="00A57239">
        <w:rPr>
          <w:b/>
        </w:rPr>
        <w:t>Commentary on the School Funding Allocations April 201</w:t>
      </w:r>
      <w:r w:rsidR="0048385F">
        <w:rPr>
          <w:b/>
        </w:rPr>
        <w:t>7</w:t>
      </w:r>
      <w:r w:rsidRPr="00A57239">
        <w:rPr>
          <w:b/>
        </w:rPr>
        <w:t xml:space="preserve"> – March 201</w:t>
      </w:r>
      <w:r w:rsidR="0048385F">
        <w:rPr>
          <w:b/>
        </w:rPr>
        <w:t>8</w:t>
      </w:r>
    </w:p>
    <w:p w:rsidR="00A57239" w:rsidRDefault="00AE229E" w:rsidP="00A57239">
      <w:pPr>
        <w:jc w:val="center"/>
        <w:rPr>
          <w:b/>
        </w:rPr>
      </w:pPr>
      <w:r>
        <w:rPr>
          <w:b/>
        </w:rPr>
        <w:t>Version 1</w:t>
      </w:r>
      <w:r w:rsidR="0048385F">
        <w:rPr>
          <w:b/>
        </w:rPr>
        <w:t>.</w:t>
      </w:r>
      <w:r w:rsidR="009601BE">
        <w:rPr>
          <w:b/>
        </w:rPr>
        <w:t>0</w:t>
      </w:r>
      <w:r>
        <w:rPr>
          <w:b/>
        </w:rPr>
        <w:t xml:space="preserve">: </w:t>
      </w:r>
      <w:r w:rsidR="0048385F">
        <w:rPr>
          <w:b/>
        </w:rPr>
        <w:t>15</w:t>
      </w:r>
      <w:r w:rsidR="0048385F" w:rsidRPr="0048385F">
        <w:rPr>
          <w:b/>
          <w:vertAlign w:val="superscript"/>
        </w:rPr>
        <w:t>th</w:t>
      </w:r>
      <w:r w:rsidR="0048385F">
        <w:rPr>
          <w:b/>
        </w:rPr>
        <w:t xml:space="preserve"> February 2017</w:t>
      </w:r>
      <w:r>
        <w:rPr>
          <w:b/>
        </w:rPr>
        <w:t xml:space="preserve"> </w:t>
      </w:r>
    </w:p>
    <w:tbl>
      <w:tblPr>
        <w:tblStyle w:val="TableGrid"/>
        <w:tblW w:w="14709" w:type="dxa"/>
        <w:shd w:val="clear" w:color="auto" w:fill="D6E3BC" w:themeFill="accent3" w:themeFillTint="66"/>
        <w:tblLook w:val="04A0" w:firstRow="1" w:lastRow="0" w:firstColumn="1" w:lastColumn="0" w:noHBand="0" w:noVBand="1"/>
      </w:tblPr>
      <w:tblGrid>
        <w:gridCol w:w="2235"/>
        <w:gridCol w:w="3260"/>
        <w:gridCol w:w="283"/>
        <w:gridCol w:w="709"/>
        <w:gridCol w:w="992"/>
        <w:gridCol w:w="7230"/>
      </w:tblGrid>
      <w:tr w:rsidR="00145158" w:rsidTr="00E11B00">
        <w:tc>
          <w:tcPr>
            <w:tcW w:w="14709" w:type="dxa"/>
            <w:gridSpan w:val="6"/>
            <w:tcBorders>
              <w:bottom w:val="single" w:sz="4" w:space="0" w:color="auto"/>
            </w:tcBorders>
            <w:shd w:val="clear" w:color="auto" w:fill="D6E3BC" w:themeFill="accent3" w:themeFillTint="66"/>
          </w:tcPr>
          <w:p w:rsidR="00145158" w:rsidRDefault="00145158" w:rsidP="00145158">
            <w:r w:rsidRPr="00A57239">
              <w:t xml:space="preserve">This commentary should be read in conjunction with the initial funding allocation sheets published on the Barnet website at </w:t>
            </w:r>
            <w:hyperlink r:id="rId9" w:history="1">
              <w:r w:rsidRPr="00AA30EB">
                <w:rPr>
                  <w:rStyle w:val="Hyperlink"/>
                </w:rPr>
                <w:t>www.barnet.gov.uk/school-funding</w:t>
              </w:r>
            </w:hyperlink>
            <w:r>
              <w:t>.</w:t>
            </w:r>
          </w:p>
          <w:p w:rsidR="00145158" w:rsidRDefault="00145158" w:rsidP="00145158"/>
          <w:p w:rsidR="00145158" w:rsidRDefault="00AE229E" w:rsidP="00145158">
            <w:r>
              <w:t>Funding sheets</w:t>
            </w:r>
            <w:r w:rsidR="00145158">
              <w:t xml:space="preserve"> issued in February</w:t>
            </w:r>
            <w:r w:rsidR="0048385F">
              <w:t xml:space="preserve"> 2017</w:t>
            </w:r>
            <w:r w:rsidR="00145158">
              <w:t xml:space="preserve"> are a mixture of final allocations and estimates.  </w:t>
            </w:r>
          </w:p>
          <w:p w:rsidR="00145158" w:rsidRDefault="00145158" w:rsidP="00145158"/>
          <w:p w:rsidR="00145158" w:rsidRDefault="00AE229E" w:rsidP="00145158">
            <w:r>
              <w:t>Information</w:t>
            </w:r>
            <w:r w:rsidR="00145158">
              <w:t xml:space="preserve"> is issued for all schools and academies, but academies should note that the funding in their General Annual Grant for the financial year September 201</w:t>
            </w:r>
            <w:r w:rsidR="0048385F">
              <w:t>7</w:t>
            </w:r>
            <w:r w:rsidR="00145158">
              <w:t xml:space="preserve"> – August 201</w:t>
            </w:r>
            <w:r w:rsidR="0048385F">
              <w:t>8</w:t>
            </w:r>
            <w:r w:rsidR="00145158">
              <w:t xml:space="preserve"> may vary from the estimates provided by Barnet depending on the funding agreement with the Education Funding Agency (EFA).</w:t>
            </w:r>
          </w:p>
          <w:p w:rsidR="00145158" w:rsidRDefault="00145158" w:rsidP="00145158">
            <w:pPr>
              <w:rPr>
                <w:b/>
              </w:rPr>
            </w:pPr>
          </w:p>
        </w:tc>
      </w:tr>
      <w:tr w:rsidR="00145158" w:rsidTr="00E11B00">
        <w:tc>
          <w:tcPr>
            <w:tcW w:w="2235" w:type="dxa"/>
            <w:tcBorders>
              <w:bottom w:val="single" w:sz="4" w:space="0" w:color="auto"/>
            </w:tcBorders>
            <w:shd w:val="clear" w:color="auto" w:fill="FBD4B4" w:themeFill="accent6" w:themeFillTint="66"/>
          </w:tcPr>
          <w:p w:rsidR="00AE04EA" w:rsidRPr="00145158" w:rsidRDefault="00AE04EA" w:rsidP="00AE04EA">
            <w:pPr>
              <w:rPr>
                <w:b/>
              </w:rPr>
            </w:pPr>
            <w:r w:rsidRPr="00145158">
              <w:rPr>
                <w:b/>
              </w:rPr>
              <w:t>Updated allocations</w:t>
            </w:r>
          </w:p>
          <w:p w:rsidR="00145158" w:rsidRDefault="00145158" w:rsidP="00A57239">
            <w:pPr>
              <w:jc w:val="center"/>
              <w:rPr>
                <w:b/>
              </w:rPr>
            </w:pPr>
          </w:p>
        </w:tc>
        <w:tc>
          <w:tcPr>
            <w:tcW w:w="3260" w:type="dxa"/>
            <w:tcBorders>
              <w:bottom w:val="single" w:sz="4" w:space="0" w:color="auto"/>
            </w:tcBorders>
            <w:shd w:val="clear" w:color="auto" w:fill="FBD4B4" w:themeFill="accent6" w:themeFillTint="66"/>
          </w:tcPr>
          <w:p w:rsidR="00AE04EA" w:rsidRDefault="00AE04EA" w:rsidP="00AE04EA">
            <w:r>
              <w:t>We will issue updated allocations periodically throughout the year.  The dates will vary but the following is a rough guide:</w:t>
            </w:r>
          </w:p>
          <w:p w:rsidR="00145158" w:rsidRDefault="00145158" w:rsidP="00A57239">
            <w:pPr>
              <w:jc w:val="center"/>
              <w:rPr>
                <w:b/>
              </w:rPr>
            </w:pPr>
          </w:p>
        </w:tc>
        <w:tc>
          <w:tcPr>
            <w:tcW w:w="9214" w:type="dxa"/>
            <w:gridSpan w:val="4"/>
            <w:tcBorders>
              <w:bottom w:val="single" w:sz="4" w:space="0" w:color="auto"/>
            </w:tcBorders>
            <w:shd w:val="clear" w:color="auto" w:fill="FBD4B4" w:themeFill="accent6" w:themeFillTint="66"/>
          </w:tcPr>
          <w:p w:rsidR="00AE04EA" w:rsidRDefault="00AE04EA" w:rsidP="00AE04EA">
            <w:bookmarkStart w:id="0" w:name="OLE_LINK1"/>
            <w:r>
              <w:t>April 1</w:t>
            </w:r>
            <w:r w:rsidR="0048385F">
              <w:t>7</w:t>
            </w:r>
            <w:r>
              <w:t xml:space="preserve"> </w:t>
            </w:r>
            <w:r>
              <w:tab/>
              <w:t>Post 16 allocations</w:t>
            </w:r>
          </w:p>
          <w:p w:rsidR="00AE04EA" w:rsidRDefault="00AE04EA" w:rsidP="00AE04EA">
            <w:r>
              <w:t>July 1</w:t>
            </w:r>
            <w:r w:rsidR="0048385F">
              <w:t>7</w:t>
            </w:r>
            <w:r>
              <w:t xml:space="preserve"> </w:t>
            </w:r>
            <w:r>
              <w:tab/>
            </w:r>
            <w:r>
              <w:tab/>
              <w:t>Pupil Premium, high needs top-ups, e</w:t>
            </w:r>
            <w:r w:rsidR="00EC41A0">
              <w:t>arly years, growth, NNDR, UIFSM</w:t>
            </w:r>
          </w:p>
          <w:p w:rsidR="00AE04EA" w:rsidRDefault="00AE04EA" w:rsidP="00AE04EA">
            <w:r>
              <w:t>October 1</w:t>
            </w:r>
            <w:r w:rsidR="0048385F">
              <w:t>7</w:t>
            </w:r>
            <w:r>
              <w:tab/>
              <w:t>PE grant, NNDR</w:t>
            </w:r>
          </w:p>
          <w:p w:rsidR="00AE04EA" w:rsidRDefault="00AE04EA" w:rsidP="00AE04EA">
            <w:r>
              <w:t>December 1</w:t>
            </w:r>
            <w:r w:rsidR="0048385F">
              <w:t>7</w:t>
            </w:r>
            <w:r>
              <w:tab/>
              <w:t>Early years, high needs top-ups</w:t>
            </w:r>
          </w:p>
          <w:p w:rsidR="00AE04EA" w:rsidRPr="006A4D61" w:rsidRDefault="00AE04EA" w:rsidP="00AE04EA">
            <w:r>
              <w:t>February 1</w:t>
            </w:r>
            <w:r w:rsidR="0048385F">
              <w:t>8</w:t>
            </w:r>
            <w:r>
              <w:tab/>
              <w:t>Early years, high needs top-ups, NNDR, Trade Union support</w:t>
            </w:r>
          </w:p>
          <w:bookmarkEnd w:id="0"/>
          <w:p w:rsidR="00145158" w:rsidRDefault="00145158" w:rsidP="00A57239">
            <w:pPr>
              <w:jc w:val="center"/>
              <w:rPr>
                <w:b/>
              </w:rPr>
            </w:pPr>
          </w:p>
        </w:tc>
      </w:tr>
      <w:tr w:rsidR="00AE04EA" w:rsidTr="00E11B00">
        <w:tc>
          <w:tcPr>
            <w:tcW w:w="2235" w:type="dxa"/>
            <w:vMerge w:val="restart"/>
            <w:shd w:val="clear" w:color="auto" w:fill="B6DDE8" w:themeFill="accent5" w:themeFillTint="66"/>
          </w:tcPr>
          <w:p w:rsidR="00AE04EA" w:rsidRPr="00D03B03" w:rsidRDefault="00AE04EA" w:rsidP="00AE04EA">
            <w:pPr>
              <w:rPr>
                <w:b/>
              </w:rPr>
            </w:pPr>
            <w:r w:rsidRPr="00D03B03">
              <w:rPr>
                <w:b/>
              </w:rPr>
              <w:t>Budget shares – for mainstream pupils, Reception to Year 11</w:t>
            </w:r>
          </w:p>
          <w:p w:rsidR="00AE04EA" w:rsidRDefault="00AE04EA" w:rsidP="00A57239">
            <w:pPr>
              <w:jc w:val="center"/>
              <w:rPr>
                <w:b/>
              </w:rPr>
            </w:pPr>
          </w:p>
        </w:tc>
        <w:tc>
          <w:tcPr>
            <w:tcW w:w="3260" w:type="dxa"/>
            <w:tcBorders>
              <w:bottom w:val="single" w:sz="4" w:space="0" w:color="auto"/>
            </w:tcBorders>
            <w:shd w:val="clear" w:color="auto" w:fill="B6DDE8" w:themeFill="accent5" w:themeFillTint="66"/>
          </w:tcPr>
          <w:p w:rsidR="00AE04EA" w:rsidRDefault="00AE04EA" w:rsidP="00AE04EA">
            <w:r>
              <w:t xml:space="preserve">There are three changes in the funding formula for </w:t>
            </w:r>
            <w:r w:rsidR="0048385F">
              <w:t>2017/18</w:t>
            </w:r>
            <w:r>
              <w:t>:</w:t>
            </w:r>
          </w:p>
          <w:p w:rsidR="00AE04EA" w:rsidRDefault="00AE04EA" w:rsidP="00A57239">
            <w:pPr>
              <w:jc w:val="center"/>
              <w:rPr>
                <w:b/>
              </w:rPr>
            </w:pPr>
          </w:p>
        </w:tc>
        <w:tc>
          <w:tcPr>
            <w:tcW w:w="9214" w:type="dxa"/>
            <w:gridSpan w:val="4"/>
            <w:tcBorders>
              <w:bottom w:val="single" w:sz="4" w:space="0" w:color="auto"/>
            </w:tcBorders>
            <w:shd w:val="clear" w:color="auto" w:fill="B6DDE8" w:themeFill="accent5" w:themeFillTint="66"/>
          </w:tcPr>
          <w:p w:rsidR="00AE04EA" w:rsidRDefault="00AE04EA" w:rsidP="00AE04EA">
            <w:pPr>
              <w:pStyle w:val="ListParagraph"/>
              <w:numPr>
                <w:ilvl w:val="0"/>
                <w:numId w:val="1"/>
              </w:numPr>
            </w:pPr>
            <w:r>
              <w:t xml:space="preserve">Age weighted pupil unit - £10 added to </w:t>
            </w:r>
            <w:r w:rsidR="0048385F">
              <w:t>the secondary rate</w:t>
            </w:r>
          </w:p>
          <w:p w:rsidR="00AE04EA" w:rsidRDefault="00AE04EA" w:rsidP="00AE04EA">
            <w:pPr>
              <w:pStyle w:val="ListParagraph"/>
              <w:numPr>
                <w:ilvl w:val="0"/>
                <w:numId w:val="1"/>
              </w:numPr>
            </w:pPr>
            <w:r>
              <w:t xml:space="preserve">Capping system – schools where the average funding per pupil has risen </w:t>
            </w:r>
            <w:r w:rsidR="00AE229E">
              <w:t xml:space="preserve">since last year </w:t>
            </w:r>
            <w:r>
              <w:t xml:space="preserve">now </w:t>
            </w:r>
            <w:proofErr w:type="gramStart"/>
            <w:r>
              <w:t>keep</w:t>
            </w:r>
            <w:proofErr w:type="gramEnd"/>
            <w:r>
              <w:t xml:space="preserve"> </w:t>
            </w:r>
            <w:r w:rsidR="0048385F">
              <w:t>up to 2.25%</w:t>
            </w:r>
            <w:r>
              <w:t xml:space="preserve"> of the increase.  </w:t>
            </w:r>
            <w:r w:rsidR="0048385F">
              <w:t>Last year</w:t>
            </w:r>
            <w:r w:rsidR="00AE229E">
              <w:t xml:space="preserve"> schools</w:t>
            </w:r>
            <w:r>
              <w:t xml:space="preserve"> kept </w:t>
            </w:r>
            <w:r w:rsidR="0048385F">
              <w:t>20% of the</w:t>
            </w:r>
            <w:r>
              <w:t xml:space="preserve"> increase but lost the rest.  </w:t>
            </w:r>
          </w:p>
          <w:p w:rsidR="00AE04EA" w:rsidRDefault="00AE04EA" w:rsidP="00AE04EA">
            <w:pPr>
              <w:pStyle w:val="ListParagraph"/>
              <w:numPr>
                <w:ilvl w:val="0"/>
                <w:numId w:val="1"/>
              </w:numPr>
            </w:pPr>
            <w:r>
              <w:t xml:space="preserve">IDACI (Income Deprivation Affecting Children Index) – the government issued a new version of the index </w:t>
            </w:r>
            <w:r w:rsidR="0048385F">
              <w:t xml:space="preserve">in October 2015 which </w:t>
            </w:r>
            <w:r>
              <w:t xml:space="preserve">produced lower scores throughout London.  There are 6 bands of IDACI, </w:t>
            </w:r>
            <w:r w:rsidR="0048385F">
              <w:t xml:space="preserve">but </w:t>
            </w:r>
            <w:r>
              <w:t xml:space="preserve">no school </w:t>
            </w:r>
            <w:r w:rsidR="0048385F">
              <w:t>had</w:t>
            </w:r>
            <w:r>
              <w:t xml:space="preserve"> Band 6 </w:t>
            </w:r>
            <w:r w:rsidR="0048385F">
              <w:t>pupils</w:t>
            </w:r>
            <w:r>
              <w:t xml:space="preserve">, the funded bands </w:t>
            </w:r>
            <w:r w:rsidR="0048385F">
              <w:t>in 2016/17 were</w:t>
            </w:r>
            <w:r>
              <w:t xml:space="preserve"> Bands 3 to 5.  </w:t>
            </w:r>
            <w:r w:rsidR="0048385F">
              <w:t>The DfE has now re-aligned the bands so that a similar percentage of pupils fall into each as was the case in 2015/16.  As a result o</w:t>
            </w:r>
            <w:r w:rsidR="009178B6">
              <w:t>f this, some Barnet schools now have pupils in the most deprived band. For 2017/18 we continue to fund the three most deprived bands, but these have been redesignated Bands A, B &amp; C.</w:t>
            </w:r>
          </w:p>
          <w:p w:rsidR="00AE04EA" w:rsidRDefault="00AE04EA" w:rsidP="00A57239">
            <w:pPr>
              <w:jc w:val="center"/>
              <w:rPr>
                <w:b/>
              </w:rPr>
            </w:pPr>
          </w:p>
        </w:tc>
      </w:tr>
      <w:tr w:rsidR="009178B6" w:rsidTr="009178B6">
        <w:tc>
          <w:tcPr>
            <w:tcW w:w="2235" w:type="dxa"/>
            <w:vMerge/>
            <w:tcBorders>
              <w:bottom w:val="single" w:sz="4" w:space="0" w:color="auto"/>
            </w:tcBorders>
            <w:shd w:val="clear" w:color="auto" w:fill="D6E3BC" w:themeFill="accent3" w:themeFillTint="66"/>
          </w:tcPr>
          <w:p w:rsidR="009178B6" w:rsidRDefault="009178B6" w:rsidP="00A57239">
            <w:pPr>
              <w:jc w:val="center"/>
              <w:rPr>
                <w:b/>
              </w:rPr>
            </w:pPr>
          </w:p>
        </w:tc>
        <w:tc>
          <w:tcPr>
            <w:tcW w:w="3260" w:type="dxa"/>
            <w:tcBorders>
              <w:bottom w:val="single" w:sz="4" w:space="0" w:color="auto"/>
            </w:tcBorders>
            <w:shd w:val="clear" w:color="auto" w:fill="B6DDE8" w:themeFill="accent5" w:themeFillTint="66"/>
          </w:tcPr>
          <w:p w:rsidR="009178B6" w:rsidRDefault="009178B6" w:rsidP="00AE04EA">
            <w:r>
              <w:t>NNDR</w:t>
            </w:r>
          </w:p>
        </w:tc>
        <w:tc>
          <w:tcPr>
            <w:tcW w:w="9214" w:type="dxa"/>
            <w:gridSpan w:val="4"/>
            <w:tcBorders>
              <w:bottom w:val="single" w:sz="4" w:space="0" w:color="auto"/>
            </w:tcBorders>
            <w:shd w:val="clear" w:color="auto" w:fill="B6DDE8" w:themeFill="accent5" w:themeFillTint="66"/>
          </w:tcPr>
          <w:p w:rsidR="009178B6" w:rsidRDefault="009178B6" w:rsidP="009178B6">
            <w:r>
              <w:t xml:space="preserve">We are aware that VA and Foundation schools </w:t>
            </w:r>
            <w:r w:rsidR="00206F84">
              <w:t>are currently receiving</w:t>
            </w:r>
            <w:r>
              <w:t xml:space="preserve"> letters advising them that the 20% discretionary rate relief (DRR) previously received is being removed for 201</w:t>
            </w:r>
            <w:r w:rsidR="003870BA">
              <w:t>7/18.  We have therefore made</w:t>
            </w:r>
            <w:r>
              <w:t xml:space="preserve"> estimated NNDR allocation to these schools.  When we have more information we will update NNDR allocations and we will be asking all schools to submit copies of their NNDR bills in 2017/18 to verify their actual charge.  This can be done any time up to February 2018.</w:t>
            </w:r>
          </w:p>
          <w:p w:rsidR="009178B6" w:rsidRPr="00AE04EA" w:rsidRDefault="009178B6" w:rsidP="009178B6"/>
        </w:tc>
      </w:tr>
      <w:tr w:rsidR="009178B6" w:rsidTr="00206F84">
        <w:tc>
          <w:tcPr>
            <w:tcW w:w="2235" w:type="dxa"/>
            <w:tcBorders>
              <w:bottom w:val="single" w:sz="4" w:space="0" w:color="auto"/>
            </w:tcBorders>
            <w:shd w:val="clear" w:color="auto" w:fill="B6DDE8" w:themeFill="accent5" w:themeFillTint="66"/>
          </w:tcPr>
          <w:p w:rsidR="009178B6" w:rsidRDefault="009178B6" w:rsidP="00A57239">
            <w:pPr>
              <w:jc w:val="center"/>
              <w:rPr>
                <w:b/>
              </w:rPr>
            </w:pPr>
            <w:r>
              <w:lastRenderedPageBreak/>
              <w:br w:type="page"/>
            </w:r>
          </w:p>
        </w:tc>
        <w:tc>
          <w:tcPr>
            <w:tcW w:w="12474" w:type="dxa"/>
            <w:gridSpan w:val="5"/>
            <w:tcBorders>
              <w:bottom w:val="single" w:sz="4" w:space="0" w:color="auto"/>
            </w:tcBorders>
            <w:shd w:val="clear" w:color="auto" w:fill="B6DDE8" w:themeFill="accent5" w:themeFillTint="66"/>
          </w:tcPr>
          <w:p w:rsidR="009178B6" w:rsidRDefault="009178B6" w:rsidP="00D00E11">
            <w:r>
              <w:t>Other than the NNDR mentioned above, budget share allocations are final for the year.</w:t>
            </w:r>
          </w:p>
          <w:p w:rsidR="009178B6" w:rsidRDefault="009178B6" w:rsidP="00D00E11"/>
        </w:tc>
      </w:tr>
      <w:tr w:rsidR="00AE04EA" w:rsidTr="00E11B00">
        <w:tc>
          <w:tcPr>
            <w:tcW w:w="2235" w:type="dxa"/>
            <w:vMerge w:val="restart"/>
            <w:shd w:val="clear" w:color="auto" w:fill="CCC0D9" w:themeFill="accent4" w:themeFillTint="66"/>
          </w:tcPr>
          <w:p w:rsidR="00AE04EA" w:rsidRPr="00DE2155" w:rsidRDefault="00AE04EA" w:rsidP="00AE04EA">
            <w:pPr>
              <w:rPr>
                <w:b/>
              </w:rPr>
            </w:pPr>
            <w:r w:rsidRPr="00DE2155">
              <w:rPr>
                <w:b/>
              </w:rPr>
              <w:t>High Needs (Statements / EHCPs,  Special Schools,  PRUs,  Additional Resourced Provision)</w:t>
            </w:r>
          </w:p>
          <w:p w:rsidR="00AE04EA" w:rsidRDefault="00AE04EA" w:rsidP="00A57239">
            <w:pPr>
              <w:jc w:val="center"/>
              <w:rPr>
                <w:b/>
              </w:rPr>
            </w:pPr>
          </w:p>
        </w:tc>
        <w:tc>
          <w:tcPr>
            <w:tcW w:w="4252" w:type="dxa"/>
            <w:gridSpan w:val="3"/>
            <w:tcBorders>
              <w:bottom w:val="single" w:sz="4" w:space="0" w:color="auto"/>
            </w:tcBorders>
            <w:shd w:val="clear" w:color="auto" w:fill="CCC0D9" w:themeFill="accent4" w:themeFillTint="66"/>
          </w:tcPr>
          <w:p w:rsidR="00AE04EA" w:rsidRDefault="00AE04EA" w:rsidP="00AE04EA">
            <w:r>
              <w:t>Place funding for special schools, ARPs and PRUs remain</w:t>
            </w:r>
            <w:r w:rsidR="00AE229E">
              <w:t>s</w:t>
            </w:r>
            <w:r>
              <w:t xml:space="preserve"> at £10,000 per annum as required by the government</w:t>
            </w:r>
            <w:r w:rsidR="00206F84">
              <w:t>.</w:t>
            </w:r>
          </w:p>
          <w:p w:rsidR="00AE04EA" w:rsidRDefault="00AE04EA" w:rsidP="00A57239">
            <w:pPr>
              <w:jc w:val="center"/>
              <w:rPr>
                <w:b/>
              </w:rPr>
            </w:pPr>
          </w:p>
        </w:tc>
        <w:tc>
          <w:tcPr>
            <w:tcW w:w="8222" w:type="dxa"/>
            <w:gridSpan w:val="2"/>
            <w:tcBorders>
              <w:bottom w:val="single" w:sz="4" w:space="0" w:color="auto"/>
            </w:tcBorders>
            <w:shd w:val="clear" w:color="auto" w:fill="CCC0D9" w:themeFill="accent4" w:themeFillTint="66"/>
          </w:tcPr>
          <w:p w:rsidR="00AE04EA" w:rsidRDefault="00206F84" w:rsidP="00206F84">
            <w:r>
              <w:t>All top-up funding rates have remained at 2016/17 levels.</w:t>
            </w:r>
          </w:p>
          <w:p w:rsidR="00AE04EA" w:rsidRDefault="00AE04EA" w:rsidP="00A57239">
            <w:pPr>
              <w:jc w:val="center"/>
              <w:rPr>
                <w:b/>
              </w:rPr>
            </w:pPr>
          </w:p>
        </w:tc>
      </w:tr>
      <w:tr w:rsidR="00AE04EA" w:rsidTr="00E11B00">
        <w:tc>
          <w:tcPr>
            <w:tcW w:w="2235" w:type="dxa"/>
            <w:vMerge/>
            <w:tcBorders>
              <w:bottom w:val="single" w:sz="4" w:space="0" w:color="auto"/>
            </w:tcBorders>
            <w:shd w:val="clear" w:color="auto" w:fill="D6E3BC" w:themeFill="accent3" w:themeFillTint="66"/>
          </w:tcPr>
          <w:p w:rsidR="00AE04EA" w:rsidRDefault="00AE04EA" w:rsidP="00A57239">
            <w:pPr>
              <w:jc w:val="center"/>
              <w:rPr>
                <w:b/>
              </w:rPr>
            </w:pPr>
          </w:p>
        </w:tc>
        <w:tc>
          <w:tcPr>
            <w:tcW w:w="12474" w:type="dxa"/>
            <w:gridSpan w:val="5"/>
            <w:tcBorders>
              <w:bottom w:val="single" w:sz="4" w:space="0" w:color="auto"/>
            </w:tcBorders>
            <w:shd w:val="clear" w:color="auto" w:fill="CCC0D9" w:themeFill="accent4" w:themeFillTint="66"/>
          </w:tcPr>
          <w:p w:rsidR="00AE04EA" w:rsidRDefault="00AE04EA" w:rsidP="00AE04EA">
            <w:r>
              <w:t xml:space="preserve">To calculate initial </w:t>
            </w:r>
            <w:r w:rsidR="00AE229E">
              <w:t xml:space="preserve">estimates of </w:t>
            </w:r>
            <w:r>
              <w:t>high needs top-ups we have assumed that the number of pupils at each band at each school remains the same as in the Spring term 201</w:t>
            </w:r>
            <w:r w:rsidR="00206F84">
              <w:t>7</w:t>
            </w:r>
            <w:r>
              <w:t>.  We do not try to predict leavers (</w:t>
            </w:r>
            <w:r w:rsidR="002022FF">
              <w:t>e.g.</w:t>
            </w:r>
            <w:r>
              <w:t xml:space="preserve"> from Year 6) since in many cases leavers will be replaced by a new admission.  In the summer term we will replace the </w:t>
            </w:r>
            <w:r w:rsidR="00AE229E">
              <w:t xml:space="preserve">band </w:t>
            </w:r>
            <w:r>
              <w:t>estimates with allocations for individual pupils and these will be updated in the autumn and spring terms for admissions and leavers.</w:t>
            </w:r>
          </w:p>
          <w:p w:rsidR="002022FF" w:rsidRDefault="002022FF" w:rsidP="00AE04EA"/>
          <w:p w:rsidR="00AE04EA" w:rsidRDefault="00AE04EA" w:rsidP="00AE04EA">
            <w:r>
              <w:t>Each high needs pupil has a unique “LA Ref” number which is used by the SEN team and also allows us to issue anonymous funding reports for each school.  Please ensure a list of “LA Ref” numbers is maintained in school so that the funding reports can be checked for accuracy throughout the year.</w:t>
            </w:r>
          </w:p>
          <w:p w:rsidR="002022FF" w:rsidRDefault="002022FF" w:rsidP="00AE04EA"/>
          <w:p w:rsidR="00AE04EA" w:rsidRDefault="00AE04EA" w:rsidP="00AE04EA">
            <w:r>
              <w:t xml:space="preserve">If pupils have been granted exceptional or medical funding extending into </w:t>
            </w:r>
            <w:r w:rsidR="00206F84">
              <w:t>2017/18</w:t>
            </w:r>
            <w:r>
              <w:t>, the top-up estimates have included these where possible.</w:t>
            </w:r>
          </w:p>
          <w:p w:rsidR="00AE04EA" w:rsidRDefault="00AE04EA" w:rsidP="00A57239">
            <w:pPr>
              <w:jc w:val="center"/>
              <w:rPr>
                <w:b/>
              </w:rPr>
            </w:pPr>
          </w:p>
        </w:tc>
      </w:tr>
      <w:tr w:rsidR="00AE04EA" w:rsidTr="00E11B00">
        <w:tc>
          <w:tcPr>
            <w:tcW w:w="2235" w:type="dxa"/>
            <w:tcBorders>
              <w:bottom w:val="single" w:sz="4" w:space="0" w:color="auto"/>
            </w:tcBorders>
            <w:shd w:val="clear" w:color="auto" w:fill="E5B8B7" w:themeFill="accent2" w:themeFillTint="66"/>
          </w:tcPr>
          <w:p w:rsidR="00AE04EA" w:rsidRDefault="00AE04EA" w:rsidP="00AE04EA">
            <w:pPr>
              <w:rPr>
                <w:b/>
              </w:rPr>
            </w:pPr>
            <w:r w:rsidRPr="00857A64">
              <w:rPr>
                <w:b/>
              </w:rPr>
              <w:t>Post 16 allocations</w:t>
            </w:r>
          </w:p>
          <w:p w:rsidR="00AE04EA" w:rsidRDefault="00AE04EA" w:rsidP="00A57239">
            <w:pPr>
              <w:jc w:val="center"/>
              <w:rPr>
                <w:b/>
              </w:rPr>
            </w:pPr>
          </w:p>
        </w:tc>
        <w:tc>
          <w:tcPr>
            <w:tcW w:w="12474" w:type="dxa"/>
            <w:gridSpan w:val="5"/>
            <w:tcBorders>
              <w:bottom w:val="single" w:sz="4" w:space="0" w:color="auto"/>
            </w:tcBorders>
            <w:shd w:val="clear" w:color="auto" w:fill="E5B8B7" w:themeFill="accent2" w:themeFillTint="66"/>
          </w:tcPr>
          <w:p w:rsidR="00AE04EA" w:rsidRDefault="00AE04EA" w:rsidP="00AE04EA">
            <w:r w:rsidRPr="00857A64">
              <w:t>Sixth form learner funding</w:t>
            </w:r>
            <w:r>
              <w:t xml:space="preserve"> for the 8 month period August 201</w:t>
            </w:r>
            <w:r w:rsidR="00206F84">
              <w:t>7</w:t>
            </w:r>
            <w:r>
              <w:t xml:space="preserve"> – March 201</w:t>
            </w:r>
            <w:r w:rsidR="00206F84">
              <w:t>8</w:t>
            </w:r>
            <w:r>
              <w:t xml:space="preserve"> has not yet been released by the EFA.  In the meantime we have used the Academic Year (August 201</w:t>
            </w:r>
            <w:r w:rsidR="00206F84">
              <w:t>6</w:t>
            </w:r>
            <w:r>
              <w:t>-July 2016</w:t>
            </w:r>
            <w:r w:rsidR="00206F84">
              <w:t>7</w:t>
            </w:r>
            <w:r>
              <w:t>) as an estimate for secondary schools where known.  We do not have information about funding for academy 6</w:t>
            </w:r>
            <w:r w:rsidRPr="001E1205">
              <w:rPr>
                <w:vertAlign w:val="superscript"/>
              </w:rPr>
              <w:t>th</w:t>
            </w:r>
            <w:r>
              <w:t xml:space="preserve"> forms.  Special school 6</w:t>
            </w:r>
            <w:r w:rsidRPr="001E1205">
              <w:rPr>
                <w:vertAlign w:val="superscript"/>
              </w:rPr>
              <w:t>th</w:t>
            </w:r>
            <w:r>
              <w:t xml:space="preserve"> form allocations include place funding for Years 12</w:t>
            </w:r>
            <w:r w:rsidR="002022FF">
              <w:t>, 13</w:t>
            </w:r>
            <w:r>
              <w:t xml:space="preserve"> and 14 instead of an allocation from the post 16 funding formula.</w:t>
            </w:r>
          </w:p>
          <w:p w:rsidR="002022FF" w:rsidRPr="00AE04EA" w:rsidRDefault="002022FF" w:rsidP="00AE04EA"/>
        </w:tc>
      </w:tr>
      <w:tr w:rsidR="00AE04EA" w:rsidTr="00E11B00">
        <w:tc>
          <w:tcPr>
            <w:tcW w:w="2235" w:type="dxa"/>
            <w:tcBorders>
              <w:bottom w:val="single" w:sz="4" w:space="0" w:color="auto"/>
            </w:tcBorders>
            <w:shd w:val="clear" w:color="auto" w:fill="B8CCE4" w:themeFill="accent1" w:themeFillTint="66"/>
          </w:tcPr>
          <w:p w:rsidR="00AE04EA" w:rsidRPr="001E1205" w:rsidRDefault="00AE04EA" w:rsidP="00AE04EA">
            <w:pPr>
              <w:rPr>
                <w:b/>
              </w:rPr>
            </w:pPr>
            <w:r w:rsidRPr="001E1205">
              <w:rPr>
                <w:b/>
              </w:rPr>
              <w:t>Early Years</w:t>
            </w:r>
            <w:r w:rsidR="00206F84">
              <w:rPr>
                <w:b/>
              </w:rPr>
              <w:t xml:space="preserve"> National Funding Formula (EYNFF)</w:t>
            </w:r>
          </w:p>
          <w:p w:rsidR="00AE04EA" w:rsidRDefault="00AE04EA" w:rsidP="00A57239">
            <w:pPr>
              <w:jc w:val="center"/>
              <w:rPr>
                <w:b/>
              </w:rPr>
            </w:pPr>
          </w:p>
        </w:tc>
        <w:tc>
          <w:tcPr>
            <w:tcW w:w="12474" w:type="dxa"/>
            <w:gridSpan w:val="5"/>
            <w:tcBorders>
              <w:bottom w:val="single" w:sz="4" w:space="0" w:color="auto"/>
            </w:tcBorders>
            <w:shd w:val="clear" w:color="auto" w:fill="B8CCE4" w:themeFill="accent1" w:themeFillTint="66"/>
          </w:tcPr>
          <w:p w:rsidR="00206F84" w:rsidRDefault="00206F84" w:rsidP="00AE04EA">
            <w:r>
              <w:t>The Early Years funding formula has changed for 2017/18.  All nursery providers will receive the same hourly base rate of £5.17, toge</w:t>
            </w:r>
            <w:r w:rsidR="009601BE">
              <w:t xml:space="preserve">ther with a deprivation </w:t>
            </w:r>
            <w:r>
              <w:t xml:space="preserve">supplement based on the IDACI score of the child. </w:t>
            </w:r>
          </w:p>
          <w:p w:rsidR="00206F84" w:rsidRDefault="00206F84" w:rsidP="00AE04EA"/>
          <w:p w:rsidR="00206F84" w:rsidRDefault="00206F84" w:rsidP="00AE04EA">
            <w:r>
              <w:t>The new calculation will be:</w:t>
            </w:r>
          </w:p>
          <w:p w:rsidR="00206F84" w:rsidRDefault="00206F84" w:rsidP="00206F84">
            <w:pPr>
              <w:ind w:left="720"/>
            </w:pPr>
            <w:r>
              <w:t>Free entitlement hours per child * £5.17</w:t>
            </w:r>
          </w:p>
          <w:p w:rsidR="00206F84" w:rsidRDefault="00206F84" w:rsidP="00206F84">
            <w:pPr>
              <w:ind w:left="720"/>
            </w:pPr>
            <w:r>
              <w:t>Free entitlement hours per child * child level IDACI score * £1.53 deprivation supplement.</w:t>
            </w:r>
          </w:p>
          <w:p w:rsidR="00206F84" w:rsidRDefault="00206F84" w:rsidP="00AE04EA"/>
          <w:p w:rsidR="00206F84" w:rsidRDefault="00206F84" w:rsidP="00AE04EA">
            <w:r>
              <w:t>From September 2017, any children receiving additional hours under the ‘working parent’ 30 hour entitlement will be funded using exactly the same EYNFF formula.</w:t>
            </w:r>
          </w:p>
          <w:p w:rsidR="00206F84" w:rsidRDefault="00206F84" w:rsidP="00AE04EA"/>
          <w:p w:rsidR="00AE04EA" w:rsidRDefault="00AE04EA" w:rsidP="00AE04EA">
            <w:r>
              <w:t>We have estimated the take-up of the Free Entitlement for Early Education for 3 and 4 year olds based on the pupils funded in the period January to December 201</w:t>
            </w:r>
            <w:r w:rsidR="00206F84">
              <w:t>6</w:t>
            </w:r>
            <w:r>
              <w:t>.  These will be updated each term once the termly census has been received.</w:t>
            </w:r>
          </w:p>
          <w:p w:rsidR="002022FF" w:rsidRDefault="002022FF" w:rsidP="00AE04EA"/>
          <w:p w:rsidR="00AE04EA" w:rsidRPr="007A5076" w:rsidRDefault="00AE04EA" w:rsidP="007A5076">
            <w:r>
              <w:t xml:space="preserve">Funding for two year olds is not included in the funding sheets.  Schools with </w:t>
            </w:r>
            <w:r w:rsidR="00F16906">
              <w:t xml:space="preserve">eligible </w:t>
            </w:r>
            <w:r>
              <w:t>two year olds should continue to claim through the Early Years team (</w:t>
            </w:r>
            <w:hyperlink r:id="rId10" w:history="1">
              <w:r w:rsidRPr="00AA30EB">
                <w:rPr>
                  <w:rStyle w:val="Hyperlink"/>
                </w:rPr>
                <w:t>earlyyears@barnet.gov.uk</w:t>
              </w:r>
            </w:hyperlink>
            <w:r>
              <w:t>).</w:t>
            </w:r>
          </w:p>
        </w:tc>
      </w:tr>
      <w:tr w:rsidR="00AE04EA" w:rsidTr="00766F75">
        <w:tc>
          <w:tcPr>
            <w:tcW w:w="2235" w:type="dxa"/>
            <w:tcBorders>
              <w:bottom w:val="single" w:sz="4" w:space="0" w:color="auto"/>
            </w:tcBorders>
            <w:shd w:val="clear" w:color="auto" w:fill="C4BC96" w:themeFill="background2" w:themeFillShade="BF"/>
          </w:tcPr>
          <w:p w:rsidR="00AE04EA" w:rsidRDefault="00AE04EA" w:rsidP="00AE04EA">
            <w:pPr>
              <w:rPr>
                <w:b/>
              </w:rPr>
            </w:pPr>
            <w:r w:rsidRPr="00E535D8">
              <w:rPr>
                <w:b/>
              </w:rPr>
              <w:lastRenderedPageBreak/>
              <w:t>Grants</w:t>
            </w:r>
          </w:p>
          <w:p w:rsidR="00AE04EA" w:rsidRPr="001E1205" w:rsidRDefault="00AE04EA" w:rsidP="00AE04EA">
            <w:pPr>
              <w:rPr>
                <w:b/>
              </w:rPr>
            </w:pPr>
          </w:p>
        </w:tc>
        <w:tc>
          <w:tcPr>
            <w:tcW w:w="3543" w:type="dxa"/>
            <w:gridSpan w:val="2"/>
            <w:tcBorders>
              <w:bottom w:val="single" w:sz="4" w:space="0" w:color="auto"/>
            </w:tcBorders>
            <w:shd w:val="clear" w:color="auto" w:fill="C4BC96" w:themeFill="background2" w:themeFillShade="BF"/>
          </w:tcPr>
          <w:p w:rsidR="00AE04EA" w:rsidRDefault="00AE04EA" w:rsidP="00AE04EA">
            <w:pPr>
              <w:rPr>
                <w:b/>
              </w:rPr>
            </w:pPr>
            <w:r>
              <w:t xml:space="preserve">Grant allocations are calculated by the EFA and paid by the local authority to maintained schools.  Academies receive the money directly from the EFA.  VA schools also receive their Devolved Formula Capital funding directly from the EFA.  </w:t>
            </w:r>
          </w:p>
          <w:p w:rsidR="00AE04EA" w:rsidRDefault="00AE04EA" w:rsidP="00AE04EA"/>
        </w:tc>
        <w:tc>
          <w:tcPr>
            <w:tcW w:w="8931" w:type="dxa"/>
            <w:gridSpan w:val="3"/>
            <w:shd w:val="clear" w:color="auto" w:fill="C4BC96" w:themeFill="background2" w:themeFillShade="BF"/>
          </w:tcPr>
          <w:p w:rsidR="00AE04EA" w:rsidRDefault="00AE04EA" w:rsidP="00AE04EA">
            <w:pPr>
              <w:pStyle w:val="ListParagraph"/>
              <w:numPr>
                <w:ilvl w:val="0"/>
                <w:numId w:val="5"/>
              </w:numPr>
            </w:pPr>
            <w:r w:rsidRPr="00E535D8">
              <w:t>D</w:t>
            </w:r>
            <w:r>
              <w:t xml:space="preserve">evolved Formula Capital (DFC):  </w:t>
            </w:r>
            <w:r w:rsidR="009601BE">
              <w:t xml:space="preserve">this has been estimated using the same </w:t>
            </w:r>
            <w:r>
              <w:t xml:space="preserve">rates as </w:t>
            </w:r>
            <w:r w:rsidR="009601BE">
              <w:t>2016/17</w:t>
            </w:r>
            <w:r>
              <w:t>.  These will be firmed up later in the year.</w:t>
            </w:r>
          </w:p>
          <w:p w:rsidR="00AE04EA" w:rsidRDefault="00AE04EA" w:rsidP="00AE04EA">
            <w:pPr>
              <w:pStyle w:val="ListParagraph"/>
              <w:numPr>
                <w:ilvl w:val="0"/>
                <w:numId w:val="5"/>
              </w:numPr>
            </w:pPr>
            <w:r>
              <w:t xml:space="preserve">Universal Infant Free School Meals (UIFSM): estimates are based on allocations for </w:t>
            </w:r>
            <w:r w:rsidR="009601BE">
              <w:t xml:space="preserve">2016/17. </w:t>
            </w:r>
            <w:r>
              <w:t xml:space="preserve">No </w:t>
            </w:r>
            <w:r w:rsidR="002022FF">
              <w:t>estimates have</w:t>
            </w:r>
            <w:r>
              <w:t xml:space="preserve"> been attempted for growth or reduction in infant pupil numbers.  We should have more accurate allocations in the summer term.</w:t>
            </w:r>
          </w:p>
          <w:p w:rsidR="00AE04EA" w:rsidRDefault="00AE04EA" w:rsidP="00AE04EA">
            <w:pPr>
              <w:pStyle w:val="ListParagraph"/>
              <w:numPr>
                <w:ilvl w:val="0"/>
                <w:numId w:val="5"/>
              </w:numPr>
            </w:pPr>
            <w:r>
              <w:t xml:space="preserve">PE Grant: we have not received confirmation that this grant will continue into the academic year </w:t>
            </w:r>
            <w:r w:rsidR="009601BE">
              <w:t>2017/18</w:t>
            </w:r>
            <w:r>
              <w:t xml:space="preserve"> so at present are only paying the amount already announced for the summer term 201</w:t>
            </w:r>
            <w:r w:rsidR="009601BE">
              <w:t>7.</w:t>
            </w:r>
          </w:p>
          <w:p w:rsidR="00AE04EA" w:rsidRPr="00E535D8" w:rsidRDefault="00AE04EA" w:rsidP="00AE04EA">
            <w:pPr>
              <w:pStyle w:val="ListParagraph"/>
              <w:numPr>
                <w:ilvl w:val="0"/>
                <w:numId w:val="5"/>
              </w:numPr>
            </w:pPr>
            <w:r>
              <w:t>No estimates have been made for any other grants that some schools may receive.</w:t>
            </w:r>
          </w:p>
          <w:p w:rsidR="00AE04EA" w:rsidRDefault="00AE04EA" w:rsidP="00AE04EA"/>
        </w:tc>
      </w:tr>
      <w:tr w:rsidR="00AE04EA" w:rsidTr="00766F75">
        <w:tc>
          <w:tcPr>
            <w:tcW w:w="2235" w:type="dxa"/>
            <w:vMerge w:val="restart"/>
            <w:shd w:val="clear" w:color="auto" w:fill="FBD4B4" w:themeFill="accent6" w:themeFillTint="66"/>
          </w:tcPr>
          <w:p w:rsidR="00AE04EA" w:rsidRDefault="00AE04EA" w:rsidP="00AE04EA">
            <w:pPr>
              <w:rPr>
                <w:b/>
              </w:rPr>
            </w:pPr>
            <w:r>
              <w:rPr>
                <w:b/>
              </w:rPr>
              <w:t>Pupil Premium</w:t>
            </w:r>
          </w:p>
          <w:p w:rsidR="00AE04EA" w:rsidRPr="001E1205" w:rsidRDefault="00AE04EA" w:rsidP="00AE04EA">
            <w:pPr>
              <w:rPr>
                <w:b/>
              </w:rPr>
            </w:pPr>
          </w:p>
        </w:tc>
        <w:tc>
          <w:tcPr>
            <w:tcW w:w="3543" w:type="dxa"/>
            <w:gridSpan w:val="2"/>
            <w:shd w:val="clear" w:color="auto" w:fill="FBD4B4" w:themeFill="accent6" w:themeFillTint="66"/>
          </w:tcPr>
          <w:p w:rsidR="00AE04EA" w:rsidRDefault="00AE04EA" w:rsidP="00AE04EA">
            <w:r>
              <w:t xml:space="preserve">The EFA normally announces the Pupil Premium in the summer, so allocations have been estimated. </w:t>
            </w:r>
            <w:r w:rsidRPr="006A4D61">
              <w:t>There are 5 elements to the Pupil Premium:</w:t>
            </w:r>
          </w:p>
          <w:p w:rsidR="00AE04EA" w:rsidRDefault="00AE04EA" w:rsidP="00AE04EA"/>
        </w:tc>
        <w:tc>
          <w:tcPr>
            <w:tcW w:w="8931" w:type="dxa"/>
            <w:gridSpan w:val="3"/>
            <w:shd w:val="clear" w:color="auto" w:fill="FBD4B4" w:themeFill="accent6" w:themeFillTint="66"/>
          </w:tcPr>
          <w:p w:rsidR="00AE04EA" w:rsidRDefault="00AE04EA" w:rsidP="00AE04EA">
            <w:pPr>
              <w:pStyle w:val="ListParagraph"/>
              <w:numPr>
                <w:ilvl w:val="0"/>
                <w:numId w:val="6"/>
              </w:numPr>
            </w:pPr>
            <w:r>
              <w:t xml:space="preserve">Free School Meals (Ever 6) – estimates the same as </w:t>
            </w:r>
            <w:r w:rsidR="009601BE">
              <w:t>2016/17</w:t>
            </w:r>
          </w:p>
          <w:p w:rsidR="00AE04EA" w:rsidRDefault="00AE04EA" w:rsidP="00AE04EA">
            <w:pPr>
              <w:pStyle w:val="ListParagraph"/>
              <w:numPr>
                <w:ilvl w:val="0"/>
                <w:numId w:val="6"/>
              </w:numPr>
            </w:pPr>
            <w:r>
              <w:t xml:space="preserve">Service Children – estimates the same as </w:t>
            </w:r>
            <w:r w:rsidR="009601BE">
              <w:t>2016/17</w:t>
            </w:r>
          </w:p>
          <w:p w:rsidR="00AE04EA" w:rsidRDefault="00AE04EA" w:rsidP="00AE04EA">
            <w:pPr>
              <w:pStyle w:val="ListParagraph"/>
              <w:numPr>
                <w:ilvl w:val="0"/>
                <w:numId w:val="6"/>
              </w:numPr>
            </w:pPr>
            <w:r>
              <w:t xml:space="preserve">Post LAC – </w:t>
            </w:r>
            <w:r w:rsidR="002022FF">
              <w:t>i.e.</w:t>
            </w:r>
            <w:r>
              <w:t xml:space="preserve"> children adopted from care – estimates the same as </w:t>
            </w:r>
            <w:r w:rsidR="009601BE">
              <w:t>2016/17</w:t>
            </w:r>
          </w:p>
          <w:p w:rsidR="00AE04EA" w:rsidRDefault="00AE04EA" w:rsidP="00AE04EA">
            <w:pPr>
              <w:pStyle w:val="ListParagraph"/>
              <w:numPr>
                <w:ilvl w:val="0"/>
                <w:numId w:val="6"/>
              </w:numPr>
            </w:pPr>
            <w:r>
              <w:t xml:space="preserve">Early Years Pupil Premium – no estimates until we </w:t>
            </w:r>
            <w:r w:rsidR="009601BE">
              <w:t>receive the termly census data</w:t>
            </w:r>
          </w:p>
          <w:p w:rsidR="00AE04EA" w:rsidRDefault="00AE04EA" w:rsidP="00AE04EA">
            <w:pPr>
              <w:pStyle w:val="ListParagraph"/>
              <w:numPr>
                <w:ilvl w:val="0"/>
                <w:numId w:val="6"/>
              </w:numPr>
            </w:pPr>
            <w:r>
              <w:t>Looked After Children – no estimates as allocations are decided by the Virtual School</w:t>
            </w:r>
          </w:p>
          <w:p w:rsidR="00AE04EA" w:rsidRDefault="00AE04EA" w:rsidP="00AE04EA"/>
        </w:tc>
      </w:tr>
      <w:tr w:rsidR="00AE04EA" w:rsidTr="00766F75">
        <w:tc>
          <w:tcPr>
            <w:tcW w:w="2235" w:type="dxa"/>
            <w:vMerge/>
            <w:tcBorders>
              <w:bottom w:val="single" w:sz="4" w:space="0" w:color="auto"/>
            </w:tcBorders>
            <w:shd w:val="clear" w:color="auto" w:fill="D6E3BC" w:themeFill="accent3" w:themeFillTint="66"/>
          </w:tcPr>
          <w:p w:rsidR="00AE04EA" w:rsidRPr="001E1205" w:rsidRDefault="00AE04EA" w:rsidP="00AE04EA">
            <w:pPr>
              <w:rPr>
                <w:b/>
              </w:rPr>
            </w:pPr>
          </w:p>
        </w:tc>
        <w:tc>
          <w:tcPr>
            <w:tcW w:w="12474" w:type="dxa"/>
            <w:gridSpan w:val="5"/>
            <w:tcBorders>
              <w:bottom w:val="single" w:sz="4" w:space="0" w:color="auto"/>
            </w:tcBorders>
            <w:shd w:val="clear" w:color="auto" w:fill="FBD4B4" w:themeFill="accent6" w:themeFillTint="66"/>
          </w:tcPr>
          <w:p w:rsidR="00AE04EA" w:rsidRDefault="00AE04EA" w:rsidP="00AE04EA">
            <w:r>
              <w:t xml:space="preserve">Please note that once the </w:t>
            </w:r>
            <w:r w:rsidR="00F16906">
              <w:t>pupil premium has</w:t>
            </w:r>
            <w:r>
              <w:t xml:space="preserve"> been announced later this year</w:t>
            </w:r>
            <w:r w:rsidR="00F16906">
              <w:t>,</w:t>
            </w:r>
            <w:r>
              <w:t xml:space="preserve"> the Key to Success website will show the list of pupils on the January 201</w:t>
            </w:r>
            <w:r w:rsidR="009601BE">
              <w:t>7</w:t>
            </w:r>
            <w:r>
              <w:t xml:space="preserve"> census which have attracted funding.  No adjustments are made for </w:t>
            </w:r>
            <w:r w:rsidR="00F16906">
              <w:t xml:space="preserve">in-year </w:t>
            </w:r>
            <w:r>
              <w:t>joiners or leavers.</w:t>
            </w:r>
          </w:p>
          <w:p w:rsidR="00AE04EA" w:rsidRDefault="00AE04EA" w:rsidP="00AE04EA"/>
        </w:tc>
      </w:tr>
      <w:tr w:rsidR="00AE04EA" w:rsidTr="00766F75">
        <w:tc>
          <w:tcPr>
            <w:tcW w:w="2235" w:type="dxa"/>
            <w:shd w:val="clear" w:color="auto" w:fill="CCC0D9" w:themeFill="accent4" w:themeFillTint="66"/>
          </w:tcPr>
          <w:p w:rsidR="00AE04EA" w:rsidRDefault="00AE04EA" w:rsidP="00AE04EA">
            <w:pPr>
              <w:rPr>
                <w:b/>
              </w:rPr>
            </w:pPr>
            <w:r>
              <w:rPr>
                <w:b/>
              </w:rPr>
              <w:t>G</w:t>
            </w:r>
            <w:r w:rsidRPr="006A4D61">
              <w:rPr>
                <w:b/>
              </w:rPr>
              <w:t>rowth</w:t>
            </w:r>
            <w:r>
              <w:rPr>
                <w:b/>
              </w:rPr>
              <w:t>: planned increase in pupil numbers</w:t>
            </w:r>
          </w:p>
          <w:p w:rsidR="00AE04EA" w:rsidRPr="001E1205" w:rsidRDefault="00AE04EA" w:rsidP="00AE04EA">
            <w:pPr>
              <w:rPr>
                <w:b/>
              </w:rPr>
            </w:pPr>
          </w:p>
        </w:tc>
        <w:tc>
          <w:tcPr>
            <w:tcW w:w="5244" w:type="dxa"/>
            <w:gridSpan w:val="4"/>
            <w:shd w:val="clear" w:color="auto" w:fill="CCC0D9" w:themeFill="accent4" w:themeFillTint="66"/>
          </w:tcPr>
          <w:p w:rsidR="00AE04EA" w:rsidRDefault="00AE04EA" w:rsidP="00AE04EA">
            <w:r>
              <w:t>Mainstream s</w:t>
            </w:r>
            <w:r w:rsidRPr="006A4D61">
              <w:t>chools which are opening whole new year groups in September 201</w:t>
            </w:r>
            <w:r w:rsidR="009601BE">
              <w:t>7</w:t>
            </w:r>
            <w:r>
              <w:t xml:space="preserve"> have been funded for the extra pupils through the main funding formula, pro rata for the 7 months from September 201</w:t>
            </w:r>
            <w:r w:rsidR="009601BE">
              <w:t>7</w:t>
            </w:r>
            <w:r>
              <w:t xml:space="preserve"> to March 201</w:t>
            </w:r>
            <w:r w:rsidR="009601BE">
              <w:t>8</w:t>
            </w:r>
            <w:r>
              <w:t>.  These allocations are final.</w:t>
            </w:r>
          </w:p>
          <w:p w:rsidR="002022FF" w:rsidRDefault="002022FF" w:rsidP="00AE04EA"/>
          <w:p w:rsidR="002022FF" w:rsidRDefault="002022FF" w:rsidP="002022FF">
            <w:r>
              <w:t xml:space="preserve">The funding rates are the same as </w:t>
            </w:r>
            <w:r w:rsidR="009601BE">
              <w:t>2016/17</w:t>
            </w:r>
            <w:r>
              <w:t>.  Allocations will change if current plans for new classes are revised over the next few months.</w:t>
            </w:r>
            <w:bookmarkStart w:id="1" w:name="_GoBack"/>
            <w:bookmarkEnd w:id="1"/>
          </w:p>
          <w:p w:rsidR="002022FF" w:rsidRDefault="002022FF" w:rsidP="00AE04EA"/>
          <w:p w:rsidR="00AE04EA" w:rsidRDefault="00AE04EA" w:rsidP="00AE04EA">
            <w:r>
              <w:t>All other growth funding is provided as a lump sum</w:t>
            </w:r>
            <w:r w:rsidR="002022FF">
              <w:t>.</w:t>
            </w:r>
            <w:r>
              <w:t xml:space="preserve"> </w:t>
            </w:r>
          </w:p>
          <w:p w:rsidR="00AE04EA" w:rsidRDefault="00AE04EA" w:rsidP="00AE04EA"/>
        </w:tc>
        <w:tc>
          <w:tcPr>
            <w:tcW w:w="7230" w:type="dxa"/>
            <w:shd w:val="clear" w:color="auto" w:fill="CCC0D9" w:themeFill="accent4" w:themeFillTint="66"/>
          </w:tcPr>
          <w:p w:rsidR="00AE04EA" w:rsidRDefault="00AE04EA" w:rsidP="00AE04EA">
            <w:pPr>
              <w:pStyle w:val="ListParagraph"/>
              <w:numPr>
                <w:ilvl w:val="0"/>
                <w:numId w:val="7"/>
              </w:numPr>
            </w:pPr>
            <w:r>
              <w:t>Bulge classes</w:t>
            </w:r>
          </w:p>
          <w:p w:rsidR="00AE04EA" w:rsidRDefault="00AE04EA" w:rsidP="00AE04EA">
            <w:pPr>
              <w:pStyle w:val="ListParagraph"/>
              <w:numPr>
                <w:ilvl w:val="0"/>
                <w:numId w:val="7"/>
              </w:numPr>
            </w:pPr>
            <w:r>
              <w:t>Permanent expansions</w:t>
            </w:r>
          </w:p>
          <w:p w:rsidR="00AE04EA" w:rsidRDefault="00AE04EA" w:rsidP="00AE04EA">
            <w:pPr>
              <w:pStyle w:val="ListParagraph"/>
              <w:numPr>
                <w:ilvl w:val="0"/>
                <w:numId w:val="7"/>
              </w:numPr>
            </w:pPr>
            <w:r>
              <w:t>Protection for bulge classes that have less than 22 pupils (1 or 2 form entry primaries only)</w:t>
            </w:r>
          </w:p>
          <w:p w:rsidR="00AE04EA" w:rsidRDefault="00AE04EA" w:rsidP="00AE04EA">
            <w:pPr>
              <w:pStyle w:val="ListParagraph"/>
              <w:numPr>
                <w:ilvl w:val="0"/>
                <w:numId w:val="7"/>
              </w:numPr>
            </w:pPr>
            <w:r>
              <w:t xml:space="preserve">Diseconomies of scale for new schools </w:t>
            </w:r>
            <w:r w:rsidR="007A5076">
              <w:t xml:space="preserve">opened to meet basic </w:t>
            </w:r>
            <w:proofErr w:type="gramStart"/>
            <w:r w:rsidR="007A5076">
              <w:t xml:space="preserve">need which </w:t>
            </w:r>
            <w:r>
              <w:t>do</w:t>
            </w:r>
            <w:proofErr w:type="gramEnd"/>
            <w:r>
              <w:t xml:space="preserve"> not have all year groups open.</w:t>
            </w:r>
          </w:p>
          <w:p w:rsidR="00AE229E" w:rsidRDefault="00AE229E" w:rsidP="00AE04EA">
            <w:pPr>
              <w:pStyle w:val="ListParagraph"/>
              <w:numPr>
                <w:ilvl w:val="0"/>
                <w:numId w:val="7"/>
              </w:numPr>
            </w:pPr>
            <w:r>
              <w:t xml:space="preserve">Academies only – summer term </w:t>
            </w:r>
            <w:r w:rsidR="009601BE">
              <w:t>growth</w:t>
            </w:r>
            <w:r>
              <w:t xml:space="preserve"> funding where lump sum </w:t>
            </w:r>
            <w:r w:rsidR="009601BE">
              <w:t xml:space="preserve">funding </w:t>
            </w:r>
            <w:r>
              <w:t>was paid in the previous financial year</w:t>
            </w:r>
          </w:p>
          <w:p w:rsidR="00AE04EA" w:rsidRDefault="00AE04EA" w:rsidP="00AE04EA"/>
        </w:tc>
      </w:tr>
    </w:tbl>
    <w:p w:rsidR="00145158" w:rsidRDefault="00145158" w:rsidP="007A5076">
      <w:pPr>
        <w:jc w:val="center"/>
        <w:rPr>
          <w:b/>
        </w:rPr>
      </w:pPr>
    </w:p>
    <w:sectPr w:rsidR="00145158" w:rsidSect="009178B6">
      <w:footerReference w:type="default" r:id="rId11"/>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96" w:rsidRDefault="00451996" w:rsidP="002022FF">
      <w:pPr>
        <w:spacing w:after="0" w:line="240" w:lineRule="auto"/>
      </w:pPr>
      <w:r>
        <w:separator/>
      </w:r>
    </w:p>
  </w:endnote>
  <w:endnote w:type="continuationSeparator" w:id="0">
    <w:p w:rsidR="00451996" w:rsidRDefault="00451996" w:rsidP="0020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96" w:rsidRDefault="00451996" w:rsidP="002022FF">
    <w:pPr>
      <w:pStyle w:val="Footer"/>
      <w:jc w:val="right"/>
    </w:pPr>
    <w:r>
      <w:t>Version 1</w:t>
    </w:r>
    <w:r w:rsidR="00A34E7C">
      <w:t>.</w:t>
    </w:r>
    <w:r w:rsidR="009601BE">
      <w:t>0</w:t>
    </w:r>
    <w:r>
      <w:t xml:space="preserve">: </w:t>
    </w:r>
    <w:r w:rsidR="009601BE">
      <w:t>15</w:t>
    </w:r>
    <w:r w:rsidR="009601BE" w:rsidRPr="009601BE">
      <w:rPr>
        <w:vertAlign w:val="superscript"/>
      </w:rPr>
      <w:t>th</w:t>
    </w:r>
    <w:r w:rsidR="009601BE">
      <w:t xml:space="preserve"> February 2017</w:t>
    </w:r>
    <w:r>
      <w:tab/>
    </w:r>
    <w:r>
      <w:tab/>
      <w:t xml:space="preserve">Notes on Initial School Funding Allocations for </w:t>
    </w:r>
    <w:r w:rsidR="009601BE">
      <w:t>2017/18</w:t>
    </w:r>
    <w:r>
      <w:t xml:space="preserve">     </w:t>
    </w:r>
    <w:r>
      <w:tab/>
    </w:r>
    <w:r>
      <w:tab/>
    </w:r>
    <w:hyperlink r:id="rId1" w:history="1">
      <w:r w:rsidRPr="00AA30EB">
        <w:rPr>
          <w:rStyle w:val="Hyperlink"/>
        </w:rPr>
        <w:t>schoolfunding@barnet.gov.uk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96" w:rsidRDefault="00451996" w:rsidP="002022FF">
      <w:pPr>
        <w:spacing w:after="0" w:line="240" w:lineRule="auto"/>
      </w:pPr>
      <w:r>
        <w:separator/>
      </w:r>
    </w:p>
  </w:footnote>
  <w:footnote w:type="continuationSeparator" w:id="0">
    <w:p w:rsidR="00451996" w:rsidRDefault="00451996" w:rsidP="00202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E0A"/>
    <w:multiLevelType w:val="hybridMultilevel"/>
    <w:tmpl w:val="F9E45600"/>
    <w:lvl w:ilvl="0" w:tplc="7A5C9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D32DB"/>
    <w:multiLevelType w:val="hybridMultilevel"/>
    <w:tmpl w:val="12CA2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983EC6"/>
    <w:multiLevelType w:val="hybridMultilevel"/>
    <w:tmpl w:val="C06A1CDE"/>
    <w:lvl w:ilvl="0" w:tplc="7A5C9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402E07"/>
    <w:multiLevelType w:val="hybridMultilevel"/>
    <w:tmpl w:val="1B2CA842"/>
    <w:lvl w:ilvl="0" w:tplc="7A5C9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87C99"/>
    <w:multiLevelType w:val="hybridMultilevel"/>
    <w:tmpl w:val="B8A8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29478A"/>
    <w:multiLevelType w:val="hybridMultilevel"/>
    <w:tmpl w:val="89866964"/>
    <w:lvl w:ilvl="0" w:tplc="7A5C9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BE0A6F"/>
    <w:multiLevelType w:val="hybridMultilevel"/>
    <w:tmpl w:val="079C560A"/>
    <w:lvl w:ilvl="0" w:tplc="7A5C9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39"/>
    <w:rsid w:val="00145158"/>
    <w:rsid w:val="001C2EB2"/>
    <w:rsid w:val="001E1205"/>
    <w:rsid w:val="002022FF"/>
    <w:rsid w:val="00206F84"/>
    <w:rsid w:val="002129FE"/>
    <w:rsid w:val="00292382"/>
    <w:rsid w:val="003870BA"/>
    <w:rsid w:val="004332E0"/>
    <w:rsid w:val="00451996"/>
    <w:rsid w:val="0048385F"/>
    <w:rsid w:val="006A4D61"/>
    <w:rsid w:val="00766F75"/>
    <w:rsid w:val="007A5076"/>
    <w:rsid w:val="00857A64"/>
    <w:rsid w:val="0090021A"/>
    <w:rsid w:val="009178B6"/>
    <w:rsid w:val="009601BE"/>
    <w:rsid w:val="00A34E7C"/>
    <w:rsid w:val="00A57239"/>
    <w:rsid w:val="00AE04EA"/>
    <w:rsid w:val="00AE229E"/>
    <w:rsid w:val="00D0256C"/>
    <w:rsid w:val="00D03B03"/>
    <w:rsid w:val="00DE2155"/>
    <w:rsid w:val="00E11B00"/>
    <w:rsid w:val="00E33A14"/>
    <w:rsid w:val="00E535D8"/>
    <w:rsid w:val="00EC41A0"/>
    <w:rsid w:val="00F1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239"/>
    <w:rPr>
      <w:color w:val="0000FF" w:themeColor="hyperlink"/>
      <w:u w:val="single"/>
    </w:rPr>
  </w:style>
  <w:style w:type="paragraph" w:styleId="ListParagraph">
    <w:name w:val="List Paragraph"/>
    <w:basedOn w:val="Normal"/>
    <w:uiPriority w:val="34"/>
    <w:qFormat/>
    <w:rsid w:val="00E33A14"/>
    <w:pPr>
      <w:ind w:left="720"/>
      <w:contextualSpacing/>
    </w:pPr>
  </w:style>
  <w:style w:type="table" w:styleId="TableGrid">
    <w:name w:val="Table Grid"/>
    <w:basedOn w:val="TableNormal"/>
    <w:uiPriority w:val="59"/>
    <w:rsid w:val="0014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FF"/>
  </w:style>
  <w:style w:type="paragraph" w:styleId="Footer">
    <w:name w:val="footer"/>
    <w:basedOn w:val="Normal"/>
    <w:link w:val="FooterChar"/>
    <w:uiPriority w:val="99"/>
    <w:unhideWhenUsed/>
    <w:rsid w:val="0020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239"/>
    <w:rPr>
      <w:color w:val="0000FF" w:themeColor="hyperlink"/>
      <w:u w:val="single"/>
    </w:rPr>
  </w:style>
  <w:style w:type="paragraph" w:styleId="ListParagraph">
    <w:name w:val="List Paragraph"/>
    <w:basedOn w:val="Normal"/>
    <w:uiPriority w:val="34"/>
    <w:qFormat/>
    <w:rsid w:val="00E33A14"/>
    <w:pPr>
      <w:ind w:left="720"/>
      <w:contextualSpacing/>
    </w:pPr>
  </w:style>
  <w:style w:type="table" w:styleId="TableGrid">
    <w:name w:val="Table Grid"/>
    <w:basedOn w:val="TableNormal"/>
    <w:uiPriority w:val="59"/>
    <w:rsid w:val="0014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FF"/>
  </w:style>
  <w:style w:type="paragraph" w:styleId="Footer">
    <w:name w:val="footer"/>
    <w:basedOn w:val="Normal"/>
    <w:link w:val="FooterChar"/>
    <w:uiPriority w:val="99"/>
    <w:unhideWhenUsed/>
    <w:rsid w:val="0020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arlyyears@barnet.gov.uk" TargetMode="External"/><Relationship Id="rId4" Type="http://schemas.microsoft.com/office/2007/relationships/stylesWithEffects" Target="stylesWithEffects.xml"/><Relationship Id="rId9" Type="http://schemas.openxmlformats.org/officeDocument/2006/relationships/hyperlink" Target="http://www.barnet.gov.uk/school-fund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hoolfunding@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9487-BED8-4ADF-9A42-78E1B37F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Claire Gray</cp:lastModifiedBy>
  <cp:revision>3</cp:revision>
  <cp:lastPrinted>2016-03-03T15:48:00Z</cp:lastPrinted>
  <dcterms:created xsi:type="dcterms:W3CDTF">2017-02-15T13:06:00Z</dcterms:created>
  <dcterms:modified xsi:type="dcterms:W3CDTF">2017-02-15T14:01:00Z</dcterms:modified>
</cp:coreProperties>
</file>